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styles.xml" ContentType="application/vnd.openxmlformats-officedocument.wordprocessingml.styles+xml"/>
</Types>
</file>

<file path=_rels/.rels>&#65279;<?xml version="1.0" encoding="utf-8"?><Relationships xmlns="http://schemas.openxmlformats.org/package/2006/relationships"><Relationship Type="http://schemas.openxmlformats.org/officeDocument/2006/relationships/officeDocument" Target="/word/document.xml" Id="Rf24083ca661249a4" /></Relationships>
</file>

<file path=word/document.xml><?xml version="1.0" encoding="utf-8"?>
<w:document xmlns:w="http://schemas.openxmlformats.org/wordprocessingml/2006/main">
  <w:body>
    <w:tbl>
      <w:tblPr>
        <w:tblW w:w="9000" w:type="dxa"/>
        <w:tblBorders>
          <w:top w:val="nil"/>
          <w:bottom w:val="nil"/>
          <w:left w:val="nil"/>
          <w:right w:val="nil"/>
          <w:insideH w:val="nil"/>
          <w:insideV w:val="nil"/>
        </w:tblBorders>
        <w:tblCellSpacing w:w="60" w:type="dxa"/>
        <w:shd w:val="clear" w:color="auto" w:fill="E7F0F9"/>
      </w:tblPr>
      <w:tblGrid>
        <w:gridCol w:w="1200"/>
        <w:gridCol w:w="4500"/>
      </w:tblGrid>
      <w:tr>
        <w:tc>
          <w:tcPr>
            <w:tcW w:w="1200" w:type="pct"/>
            <w:shd w:val="clear" w:color="auto" w:fill="E7F0F9"/>
          </w:tcPr>
          <w:p>
            <w:pPr>
              <w:spacing w:before="0" w:after="0" w:line="240" w:lineRule="auto"/>
              <w:jc w:val="left"/>
            </w:pPr>
            <w:r>
              <w:rPr>
                <w:b/>
              </w:rPr>
              <w:t xml:space="preserve">RKP broj</w:t>
            </w:r>
          </w:p>
        </w:tc>
        <w:tc>
          <w:tcPr>
            <w:shd w:val="clear" w:color="auto" w:fill="E7F0F9"/>
          </w:tcPr>
          <w:p>
            <w:pPr>
              <w:spacing w:before="0" w:after="0" w:line="240" w:lineRule="auto"/>
              <w:jc w:val="left"/>
            </w:pPr>
            <w:r>
              <w:t xml:space="preserve">32875</w:t>
            </w:r>
          </w:p>
        </w:tc>
      </w:tr>
      <w:tr>
        <w:tc>
          <w:tcPr>
            <w:tcW w:w="1200" w:type="pct"/>
            <w:shd w:val="clear" w:color="auto" w:fill="E7F0F9"/>
          </w:tcPr>
          <w:p>
            <w:pPr>
              <w:spacing w:before="0" w:after="0" w:line="240" w:lineRule="auto"/>
              <w:jc w:val="left"/>
            </w:pPr>
            <w:r>
              <w:rPr>
                <w:b/>
              </w:rPr>
              <w:t xml:space="preserve">Naziv obveznika</w:t>
            </w:r>
          </w:p>
        </w:tc>
        <w:tc>
          <w:tcPr>
            <w:shd w:val="clear" w:color="auto" w:fill="E7F0F9"/>
          </w:tcPr>
          <w:p>
            <w:pPr>
              <w:spacing w:before="0" w:after="0" w:line="240" w:lineRule="auto"/>
              <w:jc w:val="left"/>
            </w:pPr>
            <w:r>
              <w:t xml:space="preserve">OPĆINA SOPJE</w:t>
            </w:r>
          </w:p>
        </w:tc>
      </w:tr>
      <w:tr>
        <w:tc>
          <w:tcPr>
            <w:tcW w:w="1200" w:type="pct"/>
            <w:shd w:val="clear" w:color="auto" w:fill="E7F0F9"/>
          </w:tcPr>
          <w:p>
            <w:pPr>
              <w:spacing w:before="0" w:after="0" w:line="240" w:lineRule="auto"/>
              <w:jc w:val="left"/>
            </w:pPr>
            <w:r>
              <w:rPr>
                <w:b/>
              </w:rPr>
              <w:t xml:space="preserve">Razina</w:t>
            </w:r>
          </w:p>
        </w:tc>
        <w:tc>
          <w:tcPr>
            <w:shd w:val="clear" w:color="auto" w:fill="E7F0F9"/>
          </w:tcPr>
          <w:p>
            <w:pPr>
              <w:spacing w:before="0" w:after="0" w:line="240" w:lineRule="auto"/>
              <w:jc w:val="left"/>
            </w:pPr>
            <w:r>
              <w:t xml:space="preserve">23</w:t>
            </w:r>
          </w:p>
        </w:tc>
      </w:tr>
    </w:tbl>
    <w:p>
      <w:r>
        <w:br/>
      </w:r>
    </w:p>
    <w:p>
      <w:pPr>
        <w:jc w:val="center"/>
        <w:pStyle w:val="Normal"/>
        <w:spacing w:line="240" w:lineRule="auto"/>
      </w:pPr>
      <w:r>
        <w:rPr>
          <w:b/>
          <w:sz w:val="28"/>
          <w:rFonts w:ascii="Times New Roman" w:hAnsi="Times New Roman"/>
        </w:rPr>
        <w:t>BILJEŠKE UZ FINANCIJSKE IZVJEŠTAJE</w:t>
      </w:r>
    </w:p>
    <w:p>
      <w:pPr>
        <w:jc w:val="center"/>
        <w:pStyle w:val="Normal"/>
        <w:spacing w:line="240" w:lineRule="auto"/>
      </w:pPr>
      <w:r>
        <w:rPr>
          <w:b/>
          <w:sz w:val="28"/>
          <w:rFonts w:ascii="Times New Roman" w:hAnsi="Times New Roman"/>
        </w:rPr>
        <w:t>ZA RAZDOBLJE</w:t>
      </w:r>
    </w:p>
    <w:p>
      <w:pPr>
        <w:jc w:val="center"/>
        <w:pStyle w:val="Normal"/>
        <w:spacing w:line="240" w:lineRule="auto"/>
      </w:pPr>
      <w:r>
        <w:rPr>
          <w:b/>
          <w:sz w:val="28"/>
          <w:rFonts w:ascii="Times New Roman" w:hAnsi="Times New Roman"/>
        </w:rPr>
        <w:t>I - VI 2025.</w:t>
      </w:r>
    </w:p>
    <w:p/>
    <w:p>
      <w:pPr>
        <w:jc w:val="center"/>
        <w:pStyle w:val="Normal"/>
        <w:spacing w:line="240" w:lineRule="auto"/>
        <w:keepNext/>
      </w:pPr>
      <w:r>
        <w:rPr>
          <w:b/>
          <w:sz w:val="28"/>
          <w:rFonts w:ascii="Times New Roman" w:hAnsi="Times New Roman"/>
        </w:rPr>
        <w:t>Izvještaj o prihodima i rashodima, primicima i izdacima</w:t>
      </w:r>
    </w:p>
    <w:p>
      <w:pPr>
        <w:jc w:val="center"/>
        <w:pStyle w:val="Normal"/>
        <w:spacing w:line="240" w:lineRule="auto"/>
        <w:keepNext/>
      </w:pPr>
      <w:r>
        <w:rPr>
          <w:sz w:val="28"/>
          <w:rFonts w:ascii="Times New Roman" w:hAnsi="Times New Roman"/>
        </w:rPr>
        <w:t>Bilješka 1.</w:t>
      </w:r>
    </w:p>
    <w:tbl>
      <w:tblPr>
        <w:tblBorders>
          <w:top w:val="single" w:color="BABABA" w:sz="12"/>
          <w:bottom w:val="single" w:color="BABABA" w:sz="12"/>
          <w:left w:val="single" w:color="BABABA" w:sz="12"/>
          <w:right w:val="single" w:color="BABABA" w:sz="12"/>
          <w:insideH w:val="single" w:color="BABABA" w:sz="8"/>
          <w:insideV w:val="single" w:color="DADADA" w:sz="8"/>
        </w:tblBorders>
        <w:tblW w:w="0" w:type="auto"/>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POSLOVANJA (šifre 61+62+63+64+65+66+67+68)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891.204,96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639.937,33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71,8</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RASHODI POSLOVANJA (šifre 31+32+34+35+36+37+38)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401.196,35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727.197,64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181,3</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MANJAK PRIHODA POSLOVANJA (šifre Z005-6)</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Y001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87.260,31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od prodaje nefinancijske imovine (šifre 71+72+73+74)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8.796,97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5.008,42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56,9</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Rashodi za nabavu nefinancijske imovine (šifre 41+42+43+44+45)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441.947,27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337.551,68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76,4</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MANJAK PRIHODA OD NEFINANCIJSKE IMOVINE (šifre 4-7)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Y002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433.150,30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332.543,26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76,8</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Primici od financijske imovine i zaduživanja (šifre 81+82+83+84+85)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252.952,32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Izdaci za financijsku imovinu i otplate zajmova (šifre 51+52+53+54+55)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88.864,68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VIŠAK PRIMITAKA OD FINANCIJSKE IMOVINE I ZADUŽIVANJA (šifre 8-5)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X003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164.087,64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MANJAK PRIHODA I PRIMITAKA (šifre Y345-X678)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Y005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255.715,93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w:t>
            </w:r>
          </w:p>
        </w:tc>
      </w:tr>
    </w:tbl>
    <w:p>
      <w:pPr>
        <w:spacing w:before="0" w:after="0"/>
      </w:pPr>
    </w:p>
    <w:p>
      <w:pPr>
        <w:jc w:val="both"/>
        <w:pStyle w:val="Normal"/>
        <w:spacing w:line="240" w:lineRule="auto"/>
      </w:pPr>
      <w:r>
        <w:rPr>
          <w:sz w:val="24"/>
          <w:rFonts w:ascii="Times New Roman" w:hAnsi="Times New Roman"/>
        </w:rPr>
        <w:t>Ukupni prihodi i rashodi poslovanja
Ukupni prihodi poslovanja (šifra 6): 639.937,33 
Ukupni rashodi poslovanja (šifra 3): 727.197,64 
Manjak prihoda poslovanja (šifra X001): 87.260,31 
Objašnjenje: Prihodi poslovanja ne pokrivaju rashode poslovanja, što rezultira manjkom (deficitom) poslovanja od 87.260,31 . To znači da jedinica lokalne samouprave tijekom razdoblja nije ostvarila dovoljno sredstava iz redovitih, tekućih prihoda za pokriće tekućih troškova.
Općina Sopje ima jednog proračunskog korisnika.Proračunski korisnik je u izvještajnom razdoblju ostvario prihod poslovanja 58.940,27, rashodi poslovanja 92.958,89 te manjak prihoda i primitaka  34.018,62.
2. Nefinancijska imovina
Prihodi od prodaje nefinancijske imovine (šifra 7): 5.008,42 
Rashodi za nabavu nefinancijske imovine (šifra 4): 337.551,68 
Manjak prihoda od nefinancijske imovine (šifra Y002): 332.543,26 
Objašnjenje: Tijekom razdoblja jedinica je ostvarila prihode od prodaje imovine od 5.008,42 , dok je za nabavu nefinancijske imovine izdvojeno 337.551,68 . To je dovelo do manjka u dijelu nefinancijske imovine od 332.543,26 , što znači da su ulaganja u imovinu znatno premašila prihode, te su financirana iz proračunskih rezervi ili prethodnih suficita.
Proračunski korisnik nema prihoda od nefinancijske imovine ni rashoda za nabavu nefinancijske imovine u izvještajnom razdoblju.
3. Financijska imovina i zaduživanja
Primici od financijske imovine i zaduživanja (šifra 8): 252.952,32 
Izdaci za financijsku imovinu i otplate zajmova (šifra 5): 88.864,68 
Višak primitaka (šifra X003): 164.087,64 
Objašnjenje: JLS je primila 252.952,32 kroz operacije povezane s financijskom imovinom i kreditima( prekoračenje po računu), dok je otplatila 88.864,68 . To rezultira viškom primitaka od 164.087,64  u tom segmentu, što pokazuje pozitivno financijsko upravljanje u segmentu zaduživanja i instrumenta likvidnosti.
U izvještajnom razdoblju proračunski korisnik nema primitaka od financijske imovine i zaduživanja niti izdataka za financijsku imovinu i otplate zajmova.
4. Ukupna bilanca – Manjak prihoda i primitaka
Manjak prihoda i primitaka (šifra Y005): 255.715,93 
Objašnjenje: Kombiniranjem manjka poslovanja (87.260,31 ) i manjka iz nefinancijske imovine (332.543,26 ), te viškom iz financijskih aktivnosti (+164.087,64 ), nastaje ukupni manjak prihoda i primitaka od 255.715,93 . Ovaj nedostatak ukazuje na ukupno negativno financijsko stanje za razdoblje, čime je nužno osigurati dodatna sredstva – iz neiskorištenih rezervi, prenesenih sredstava iz prethodnih razdoblja ili putem novih izvora financiranja. Konsolidacijom financijskog izvještaja uključen je manjak proračunskog korisnika.
</w:t>
      </w:r>
    </w:p>
    <w:p>
      <w:r>
        <w:br/>
      </w:r>
    </w:p>
    <w:p>
      <w:pPr>
        <w:jc w:val="center"/>
        <w:pStyle w:val="Normal"/>
        <w:spacing w:line="240" w:lineRule="auto"/>
        <w:keepNext/>
      </w:pPr>
      <w:r>
        <w:rPr>
          <w:sz w:val="28"/>
          <w:rFonts w:ascii="Times New Roman" w:hAnsi="Times New Roman"/>
        </w:rPr>
        <w:t>Bilješka 2.</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od poreza (šifre 611+612+613+614+615+616)</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157.466,74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133.350,82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84,7</w:t>
            </w:r>
          </w:p>
        </w:tc>
      </w:tr>
    </w:tbl>
    <w:p>
      <w:pPr>
        <w:spacing w:before="0" w:after="0"/>
      </w:pPr>
    </w:p>
    <w:p>
      <w:pPr>
        <w:jc w:val="both"/>
        <w:pStyle w:val="Normal"/>
        <w:spacing w:line="240" w:lineRule="auto"/>
      </w:pPr>
      <w:r>
        <w:rPr>
          <w:sz w:val="24"/>
          <w:rFonts w:ascii="Times New Roman" w:hAnsi="Times New Roman"/>
        </w:rPr>
        <w:t>Prihodi od poreza u  izvještajnom razdoblju su se smanjili u odnosu na prethodno izvještajno razdoblje jer je uplaćeno manje poreza i prireza os nesamostalnog rada nego u prethodnom izvještajnom razdoblju, i porez na imovinu se povećao u ovom izvještajnom razdoblju. Porez na robu i usluge naplaćen je manje nego u prethodnom izvještajnom razdoblju.</w:t>
      </w:r>
    </w:p>
    <w:p/>
    <w:p>
      <w:pPr>
        <w:jc w:val="center"/>
        <w:pStyle w:val="Normal"/>
        <w:spacing w:line="240" w:lineRule="auto"/>
        <w:keepNext/>
      </w:pPr>
      <w:r>
        <w:rPr>
          <w:sz w:val="28"/>
          <w:rFonts w:ascii="Times New Roman" w:hAnsi="Times New Roman"/>
        </w:rPr>
        <w:t>Bilješka 3.</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632</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Pomoći od međunarodnih organizacija te institucija i tijela EU (šifre 6321 do 6324)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632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71.400,00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w:t>
            </w:r>
          </w:p>
        </w:tc>
      </w:tr>
    </w:tbl>
    <w:p>
      <w:pPr>
        <w:spacing w:before="0" w:after="0"/>
      </w:pPr>
    </w:p>
    <w:p>
      <w:pPr>
        <w:jc w:val="both"/>
        <w:pStyle w:val="Normal"/>
        <w:spacing w:line="240" w:lineRule="auto"/>
      </w:pPr>
      <w:r>
        <w:rPr>
          <w:sz w:val="24"/>
          <w:rFonts w:ascii="Times New Roman" w:hAnsi="Times New Roman"/>
        </w:rPr>
        <w:t>U izvještajnom nema prometa po ovom kontu ni općina ni proračunski korisnik.</w:t>
      </w:r>
    </w:p>
    <w:p/>
    <w:p>
      <w:pPr>
        <w:jc w:val="center"/>
        <w:pStyle w:val="Normal"/>
        <w:spacing w:line="240" w:lineRule="auto"/>
        <w:keepNext/>
      </w:pPr>
      <w:r>
        <w:rPr>
          <w:sz w:val="28"/>
          <w:rFonts w:ascii="Times New Roman" w:hAnsi="Times New Roman"/>
        </w:rPr>
        <w:t>Bilješka 4.</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6331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Tekuće pomoći proračunu i izvanproračunskim korisnicima iz drugih proračuna</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6331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250.155,84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73.212,22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29,3</w:t>
            </w:r>
          </w:p>
        </w:tc>
      </w:tr>
    </w:tbl>
    <w:p>
      <w:pPr>
        <w:spacing w:before="0" w:after="0"/>
      </w:pPr>
    </w:p>
    <w:p>
      <w:pPr>
        <w:jc w:val="both"/>
        <w:pStyle w:val="Normal"/>
        <w:spacing w:line="240" w:lineRule="auto"/>
      </w:pPr>
      <w:r>
        <w:rPr>
          <w:sz w:val="24"/>
          <w:rFonts w:ascii="Times New Roman" w:hAnsi="Times New Roman"/>
        </w:rPr>
        <w:t>U izvještajnom razdoblju dolazi do smanjenja jer se prihod od fiskalnog izravnanja evidentira na kontu 6353</w:t>
      </w:r>
    </w:p>
    <w:p/>
    <w:p>
      <w:pPr>
        <w:jc w:val="center"/>
        <w:pStyle w:val="Normal"/>
        <w:spacing w:line="240" w:lineRule="auto"/>
        <w:keepNext/>
      </w:pPr>
      <w:r>
        <w:rPr>
          <w:sz w:val="28"/>
          <w:rFonts w:ascii="Times New Roman" w:hAnsi="Times New Roman"/>
        </w:rPr>
        <w:t>Bilješka 5.</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635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Pomoći izravnanja za decentralizirane funkcije i fiskalnog izravnanja (šifre 6351 do 6353)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635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228.772,86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bl>
    <w:p>
      <w:pPr>
        <w:spacing w:before="0" w:after="0"/>
      </w:pPr>
    </w:p>
    <w:p>
      <w:pPr>
        <w:jc w:val="both"/>
        <w:pStyle w:val="Normal"/>
        <w:spacing w:line="240" w:lineRule="auto"/>
      </w:pPr>
      <w:r>
        <w:rPr>
          <w:sz w:val="24"/>
          <w:rFonts w:ascii="Times New Roman" w:hAnsi="Times New Roman"/>
        </w:rPr>
        <w:t>U izvještajnom razdoblju dolazi do povećanja zbog toga što se Pomoći izravnanja za decentralizirane funkcije i fiskalnog izravnanja evidentiraju na tom kontu dok u prošlom izvještajnom razdoblju su bila evidentirana na 6331</w:t>
      </w:r>
    </w:p>
    <w:p/>
    <w:p>
      <w:pPr>
        <w:jc w:val="center"/>
        <w:pStyle w:val="Normal"/>
        <w:spacing w:line="240" w:lineRule="auto"/>
        <w:keepNext/>
      </w:pPr>
      <w:r>
        <w:rPr>
          <w:sz w:val="28"/>
          <w:rFonts w:ascii="Times New Roman" w:hAnsi="Times New Roman"/>
        </w:rPr>
        <w:t>Bilješka 6.</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6381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Tekuće pomoći temeljem prijenosa EU sredstava</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6381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59.162,07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bl>
    <w:p>
      <w:pPr>
        <w:spacing w:before="0" w:after="0"/>
      </w:pPr>
    </w:p>
    <w:p>
      <w:pPr>
        <w:jc w:val="both"/>
        <w:pStyle w:val="Normal"/>
        <w:spacing w:line="240" w:lineRule="auto"/>
      </w:pPr>
      <w:r>
        <w:rPr>
          <w:sz w:val="24"/>
          <w:rFonts w:ascii="Times New Roman" w:hAnsi="Times New Roman"/>
        </w:rPr>
        <w:t>Prihod za projekt Zaželi.</w:t>
      </w:r>
    </w:p>
    <w:p/>
    <w:p>
      <w:pPr>
        <w:jc w:val="center"/>
        <w:pStyle w:val="Normal"/>
        <w:spacing w:line="240" w:lineRule="auto"/>
        <w:keepNext/>
      </w:pPr>
      <w:r>
        <w:rPr>
          <w:sz w:val="28"/>
          <w:rFonts w:ascii="Times New Roman" w:hAnsi="Times New Roman"/>
        </w:rPr>
        <w:t>Bilješka 7.</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641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od financijske imovine (šifre 6412 do 6419)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641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39,12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7,94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20,3</w:t>
            </w:r>
          </w:p>
        </w:tc>
      </w:tr>
    </w:tbl>
    <w:p>
      <w:pPr>
        <w:spacing w:before="0" w:after="0"/>
      </w:pPr>
    </w:p>
    <w:p>
      <w:pPr>
        <w:jc w:val="both"/>
        <w:pStyle w:val="Normal"/>
        <w:spacing w:line="240" w:lineRule="auto"/>
      </w:pPr>
      <w:r>
        <w:rPr>
          <w:sz w:val="24"/>
          <w:rFonts w:ascii="Times New Roman" w:hAnsi="Times New Roman"/>
        </w:rPr>
        <w:t>Konsolidacijom financijskih izvještaja prihodima općine pribrajaju se prihodi proračunskog korisnika u iznosu 0,41 od pasivne kamate.</w:t>
      </w:r>
    </w:p>
    <w:p/>
    <w:p>
      <w:pPr>
        <w:jc w:val="center"/>
        <w:pStyle w:val="Normal"/>
        <w:spacing w:line="240" w:lineRule="auto"/>
        <w:keepNext/>
      </w:pPr>
      <w:r>
        <w:rPr>
          <w:sz w:val="28"/>
          <w:rFonts w:ascii="Times New Roman" w:hAnsi="Times New Roman"/>
        </w:rPr>
        <w:t>Bilješka 8.</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6421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Naknade za koncesije</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6421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4.664,37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6.502,02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139,4</w:t>
            </w:r>
          </w:p>
        </w:tc>
      </w:tr>
    </w:tbl>
    <w:p>
      <w:pPr>
        <w:spacing w:before="0" w:after="0"/>
      </w:pPr>
    </w:p>
    <w:p>
      <w:pPr>
        <w:jc w:val="both"/>
        <w:pStyle w:val="Normal"/>
        <w:spacing w:line="240" w:lineRule="auto"/>
      </w:pPr>
      <w:r>
        <w:rPr>
          <w:sz w:val="24"/>
          <w:rFonts w:ascii="Times New Roman" w:hAnsi="Times New Roman"/>
        </w:rPr>
        <w:t>u izvještajnom razdoblju dolazi do povećanja zbog toga što je uprihodovano više naknade za koncesije za odvoz smeća.</w:t>
      </w:r>
    </w:p>
    <w:p/>
    <w:p>
      <w:pPr>
        <w:jc w:val="center"/>
        <w:pStyle w:val="Normal"/>
        <w:spacing w:line="240" w:lineRule="auto"/>
        <w:keepNext/>
      </w:pPr>
      <w:r>
        <w:rPr>
          <w:sz w:val="28"/>
          <w:rFonts w:ascii="Times New Roman" w:hAnsi="Times New Roman"/>
        </w:rPr>
        <w:t>Bilješka 9.</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6422</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od zakupa i iznajmljivanja imovine</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6422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60.836,88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78.394,34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128,9</w:t>
            </w:r>
          </w:p>
        </w:tc>
      </w:tr>
    </w:tbl>
    <w:p>
      <w:pPr>
        <w:spacing w:before="0" w:after="0"/>
      </w:pPr>
    </w:p>
    <w:p>
      <w:pPr>
        <w:jc w:val="both"/>
        <w:pStyle w:val="Normal"/>
        <w:spacing w:line="240" w:lineRule="auto"/>
      </w:pPr>
      <w:r>
        <w:rPr>
          <w:sz w:val="24"/>
          <w:rFonts w:ascii="Times New Roman" w:hAnsi="Times New Roman"/>
        </w:rPr>
        <w:t>U izvještajnom razdoblju dolazi do povećanja jer je uprihodovano više prihoda od naplate zakupa poljoprivrednog zemljišta u vlasništvu RH.</w:t>
      </w:r>
    </w:p>
    <w:p/>
    <w:p>
      <w:pPr>
        <w:jc w:val="center"/>
        <w:pStyle w:val="Normal"/>
        <w:spacing w:line="240" w:lineRule="auto"/>
        <w:keepNext/>
      </w:pPr>
      <w:r>
        <w:rPr>
          <w:sz w:val="28"/>
          <w:rFonts w:ascii="Times New Roman" w:hAnsi="Times New Roman"/>
        </w:rPr>
        <w:t>Bilješka 10.</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651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Upravne i administrativne pristojbe (šifre 6511 do 6514)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651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2.272,42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4.795,28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211,0</w:t>
            </w:r>
          </w:p>
        </w:tc>
      </w:tr>
    </w:tbl>
    <w:p>
      <w:pPr>
        <w:spacing w:before="0" w:after="0"/>
      </w:pPr>
    </w:p>
    <w:p>
      <w:pPr>
        <w:jc w:val="both"/>
        <w:pStyle w:val="Normal"/>
        <w:spacing w:line="240" w:lineRule="auto"/>
      </w:pPr>
      <w:r>
        <w:rPr>
          <w:sz w:val="24"/>
          <w:rFonts w:ascii="Times New Roman" w:hAnsi="Times New Roman"/>
        </w:rPr>
        <w:t>u izvještajnom razdoblju uprihodovano je više prihoda za komunalnu naknadu, grobnu naknadu.</w:t>
      </w:r>
    </w:p>
    <w:p/>
    <w:p>
      <w:pPr>
        <w:jc w:val="center"/>
        <w:pStyle w:val="Normal"/>
        <w:spacing w:line="240" w:lineRule="auto"/>
        <w:keepNext/>
      </w:pPr>
      <w:r>
        <w:rPr>
          <w:sz w:val="28"/>
          <w:rFonts w:ascii="Times New Roman" w:hAnsi="Times New Roman"/>
        </w:rPr>
        <w:t>Bilješka 11.</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6524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Doprinosi za šume</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6524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990,14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8.707,48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879,4</w:t>
            </w:r>
          </w:p>
        </w:tc>
      </w:tr>
    </w:tbl>
    <w:p>
      <w:pPr>
        <w:spacing w:before="0" w:after="0"/>
      </w:pPr>
    </w:p>
    <w:p>
      <w:pPr>
        <w:jc w:val="both"/>
        <w:pStyle w:val="Normal"/>
        <w:spacing w:line="240" w:lineRule="auto"/>
      </w:pPr>
      <w:r>
        <w:rPr>
          <w:sz w:val="24"/>
          <w:rFonts w:ascii="Times New Roman" w:hAnsi="Times New Roman"/>
        </w:rPr>
        <w:t>uprihodovano je više šumskog doprinosa nego u prethodnom izvještajnom razdoblju.</w:t>
      </w:r>
    </w:p>
    <w:p/>
    <w:p>
      <w:pPr>
        <w:jc w:val="center"/>
        <w:pStyle w:val="Normal"/>
        <w:spacing w:line="240" w:lineRule="auto"/>
        <w:keepNext/>
      </w:pPr>
      <w:r>
        <w:rPr>
          <w:sz w:val="28"/>
          <w:rFonts w:ascii="Times New Roman" w:hAnsi="Times New Roman"/>
        </w:rPr>
        <w:t>Bilješka 12.</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6526</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Ostali nespomenuti prihodi</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6526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14.710,98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10.675,34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72,6</w:t>
            </w:r>
          </w:p>
        </w:tc>
      </w:tr>
    </w:tbl>
    <w:p>
      <w:pPr>
        <w:spacing w:before="0" w:after="0"/>
      </w:pPr>
    </w:p>
    <w:p>
      <w:pPr>
        <w:jc w:val="both"/>
        <w:pStyle w:val="Normal"/>
        <w:spacing w:line="240" w:lineRule="auto"/>
      </w:pPr>
      <w:r>
        <w:rPr>
          <w:sz w:val="24"/>
          <w:rFonts w:ascii="Times New Roman" w:hAnsi="Times New Roman"/>
        </w:rPr>
        <w:t>Konsolidacijom financijskog izvještaja pribrojen je iznos proračunskog korisnika od sufinaciranja roditelja za uslugu korištenja vrtića, općina nema prometa po tom kontu.</w:t>
      </w:r>
    </w:p>
    <w:p/>
    <w:p>
      <w:pPr>
        <w:jc w:val="center"/>
        <w:pStyle w:val="Normal"/>
        <w:spacing w:line="240" w:lineRule="auto"/>
        <w:keepNext/>
      </w:pPr>
      <w:r>
        <w:rPr>
          <w:sz w:val="28"/>
          <w:rFonts w:ascii="Times New Roman" w:hAnsi="Times New Roman"/>
        </w:rPr>
        <w:t>Bilješka 13.</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671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iz nadležnog proračuna za financiranje redovne djelatnosti proračunskih korisnika (šifre 6711 do 6714)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671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bl>
    <w:p>
      <w:pPr>
        <w:spacing w:before="0" w:after="0"/>
      </w:pPr>
    </w:p>
    <w:p>
      <w:pPr>
        <w:jc w:val="both"/>
        <w:pStyle w:val="Normal"/>
        <w:spacing w:line="240" w:lineRule="auto"/>
      </w:pPr>
      <w:r>
        <w:rPr>
          <w:sz w:val="24"/>
          <w:rFonts w:ascii="Times New Roman" w:hAnsi="Times New Roman"/>
        </w:rPr>
        <w:t>Konsolidacijom financijskog izvještaja ova skupina konta se eliminira.</w:t>
      </w:r>
    </w:p>
    <w:p/>
    <w:p>
      <w:pPr>
        <w:jc w:val="center"/>
        <w:pStyle w:val="Normal"/>
        <w:spacing w:line="240" w:lineRule="auto"/>
        <w:keepNext/>
      </w:pPr>
      <w:r>
        <w:rPr>
          <w:sz w:val="28"/>
          <w:rFonts w:ascii="Times New Roman" w:hAnsi="Times New Roman"/>
        </w:rPr>
        <w:t>Bilješka 14.</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311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Plaće (bruto) (šifre 3111 do 3114)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311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114.088,82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201.382,21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176,5</w:t>
            </w:r>
          </w:p>
        </w:tc>
      </w:tr>
    </w:tbl>
    <w:p>
      <w:pPr>
        <w:spacing w:before="0" w:after="0"/>
      </w:pPr>
    </w:p>
    <w:p>
      <w:pPr>
        <w:jc w:val="both"/>
        <w:pStyle w:val="Normal"/>
        <w:spacing w:line="240" w:lineRule="auto"/>
      </w:pPr>
      <w:r>
        <w:rPr>
          <w:sz w:val="24"/>
          <w:rFonts w:ascii="Times New Roman" w:hAnsi="Times New Roman"/>
        </w:rPr>
        <w:t>Konsolidacijom financijskog izvještaja pribrojeni su rashodi za plaće proračunskog korisnika u iznosu 64.816,63.</w:t>
      </w:r>
    </w:p>
    <w:p/>
    <w:p>
      <w:pPr>
        <w:jc w:val="center"/>
        <w:pStyle w:val="Normal"/>
        <w:spacing w:line="240" w:lineRule="auto"/>
        <w:keepNext/>
      </w:pPr>
      <w:r>
        <w:rPr>
          <w:sz w:val="28"/>
          <w:rFonts w:ascii="Times New Roman" w:hAnsi="Times New Roman"/>
        </w:rPr>
        <w:t>Bilješka 15.</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Materijalni rashodi (šifre 321+322+323+324+325+329)</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191.609,46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325.109,30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169,7</w:t>
            </w:r>
          </w:p>
        </w:tc>
      </w:tr>
    </w:tbl>
    <w:p>
      <w:pPr>
        <w:spacing w:before="0" w:after="0"/>
      </w:pPr>
    </w:p>
    <w:p>
      <w:pPr>
        <w:jc w:val="both"/>
        <w:pStyle w:val="Normal"/>
        <w:spacing w:line="240" w:lineRule="auto"/>
      </w:pPr>
      <w:r>
        <w:rPr>
          <w:sz w:val="24"/>
          <w:rFonts w:ascii="Times New Roman" w:hAnsi="Times New Roman"/>
        </w:rPr>
        <w:t>Konsolidacijom financijskog izvještaja pribrojani su rashodi za materijalne rashode proračunskog korisnika a najveće povećanje odnosi se na rashode za usluge (popravak aparata u kuhinji).
U izvještajnom razdoblju općina je imala materijalnih rashoda u iznosu 303.870,10. Trošak energenata, usluge tekućeg i investicijskog održavanja.</w:t>
      </w:r>
    </w:p>
    <w:p/>
    <w:p>
      <w:pPr>
        <w:jc w:val="center"/>
        <w:pStyle w:val="Normal"/>
        <w:spacing w:line="240" w:lineRule="auto"/>
        <w:keepNext/>
      </w:pPr>
      <w:r>
        <w:rPr>
          <w:sz w:val="28"/>
          <w:rFonts w:ascii="Times New Roman" w:hAnsi="Times New Roman"/>
        </w:rPr>
        <w:t>Bilješka 16.</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3223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Energija</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3223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17.421,32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23.965,30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137,6</w:t>
            </w:r>
          </w:p>
        </w:tc>
      </w:tr>
    </w:tbl>
    <w:p>
      <w:pPr>
        <w:spacing w:before="0" w:after="0"/>
      </w:pPr>
    </w:p>
    <w:p>
      <w:pPr>
        <w:jc w:val="both"/>
        <w:pStyle w:val="Normal"/>
        <w:spacing w:line="240" w:lineRule="auto"/>
      </w:pPr>
      <w:r>
        <w:rPr>
          <w:sz w:val="24"/>
          <w:rFonts w:ascii="Times New Roman" w:hAnsi="Times New Roman"/>
        </w:rPr>
        <w:t>Konsolidacijom financijskog izvještaja proračunski korisnik je imao rashode u iznosu 3.871,28 ua ulazne fakture električne energije i plin.</w:t>
      </w:r>
    </w:p>
    <w:p/>
    <w:p>
      <w:pPr>
        <w:jc w:val="center"/>
        <w:pStyle w:val="Normal"/>
        <w:spacing w:line="240" w:lineRule="auto"/>
        <w:keepNext/>
      </w:pPr>
      <w:r>
        <w:rPr>
          <w:sz w:val="28"/>
          <w:rFonts w:ascii="Times New Roman" w:hAnsi="Times New Roman"/>
        </w:rPr>
        <w:t>Bilješka 17.</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3225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Sitni inventar i autogume</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3225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706,89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3.091,07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437,3</w:t>
            </w:r>
          </w:p>
        </w:tc>
      </w:tr>
    </w:tbl>
    <w:p>
      <w:pPr>
        <w:spacing w:before="0" w:after="0"/>
      </w:pPr>
    </w:p>
    <w:p>
      <w:pPr>
        <w:jc w:val="both"/>
        <w:pStyle w:val="Normal"/>
        <w:spacing w:line="240" w:lineRule="auto"/>
      </w:pPr>
      <w:r>
        <w:rPr>
          <w:sz w:val="24"/>
          <w:rFonts w:ascii="Times New Roman" w:hAnsi="Times New Roman"/>
        </w:rPr>
        <w:t>Konsolidacijom financijskog izvještaja proračunski korisnik je imao nabavu sitnog inventara u vrijednosti 1.302,09 ( inox koplje, ventilatore), dok je općina nabavila pisač epson, zastave RH, ormar komunikacijski, kom polica u vrijednosti 1.788,98</w:t>
      </w:r>
    </w:p>
    <w:p/>
    <w:p>
      <w:pPr>
        <w:jc w:val="center"/>
        <w:pStyle w:val="Normal"/>
        <w:spacing w:line="240" w:lineRule="auto"/>
        <w:keepNext/>
      </w:pPr>
      <w:r>
        <w:rPr>
          <w:sz w:val="28"/>
          <w:rFonts w:ascii="Times New Roman" w:hAnsi="Times New Roman"/>
        </w:rPr>
        <w:t>Bilješka 18.</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3232</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Usluge tekućeg i investicijskog održavanja</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3232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2.819,36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61.069,04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2166,1</w:t>
            </w:r>
          </w:p>
        </w:tc>
      </w:tr>
    </w:tbl>
    <w:p>
      <w:pPr>
        <w:spacing w:before="0" w:after="0"/>
      </w:pPr>
    </w:p>
    <w:p>
      <w:pPr>
        <w:jc w:val="both"/>
        <w:pStyle w:val="Normal"/>
        <w:spacing w:line="240" w:lineRule="auto"/>
      </w:pPr>
      <w:r>
        <w:rPr>
          <w:sz w:val="24"/>
          <w:rFonts w:ascii="Times New Roman" w:hAnsi="Times New Roman"/>
        </w:rPr>
        <w:t>Konsolidacijom financijski izvještaja dolazi do povećanja jer je općina u izvještajnom razdoblju imala ostale usluge tekućeg i investijskog održavanja u iznosu 55.719,12 (najviše se odnosi na održavanje nerazvrstanih cesta na području općine), te smo imali usluge tekućeg i investicijskog održavanja prijevoznih sredstava (uskuga servisa kombija, usluga navarivanja i tokatenja rukavca na malčeru) ze usluga tekućeg i investicijskog održavanja postrojenja i opreme (čišćenje cjevovoda centralnog grijanja, popravak instalacija interneta) dok je proračunski korisnik imao popravke rashladnih uređaja, ispitivanje ispravnosti sustava za gašenje požara, servis vatrogasnih aparata.</w:t>
      </w:r>
    </w:p>
    <w:p/>
    <w:p>
      <w:pPr>
        <w:jc w:val="center"/>
        <w:pStyle w:val="Normal"/>
        <w:spacing w:line="240" w:lineRule="auto"/>
        <w:keepNext/>
      </w:pPr>
      <w:r>
        <w:rPr>
          <w:sz w:val="28"/>
          <w:rFonts w:ascii="Times New Roman" w:hAnsi="Times New Roman"/>
        </w:rPr>
        <w:t>Bilješka 19.</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3237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Intelektualne i osobne usluge</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3237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24.102,11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58.640,36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243,3</w:t>
            </w:r>
          </w:p>
        </w:tc>
      </w:tr>
    </w:tbl>
    <w:p>
      <w:pPr>
        <w:spacing w:before="0" w:after="0"/>
      </w:pPr>
    </w:p>
    <w:p>
      <w:pPr>
        <w:jc w:val="both"/>
        <w:pStyle w:val="Normal"/>
        <w:spacing w:line="240" w:lineRule="auto"/>
      </w:pPr>
      <w:r>
        <w:rPr>
          <w:sz w:val="24"/>
          <w:rFonts w:ascii="Times New Roman" w:hAnsi="Times New Roman"/>
        </w:rPr>
        <w:t>Konsolidacijom financijski izvještaja dolazi do povećanja jer je općina u izvještajnom razdoblju imala manifestaciju Dravsko proljeće, a proračunski korisnik osoposobljavanje ZZNR , HACCP.</w:t>
      </w:r>
    </w:p>
    <w:p/>
    <w:p>
      <w:pPr>
        <w:jc w:val="center"/>
        <w:pStyle w:val="Normal"/>
        <w:spacing w:line="240" w:lineRule="auto"/>
        <w:keepNext/>
      </w:pPr>
      <w:r>
        <w:rPr>
          <w:sz w:val="28"/>
          <w:rFonts w:ascii="Times New Roman" w:hAnsi="Times New Roman"/>
        </w:rPr>
        <w:t>Bilješka 20.</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3239</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Ostale usluge</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3239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11.703,17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28.371,56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242,4</w:t>
            </w:r>
          </w:p>
        </w:tc>
      </w:tr>
    </w:tbl>
    <w:p>
      <w:pPr>
        <w:spacing w:before="0" w:after="0"/>
      </w:pPr>
    </w:p>
    <w:p>
      <w:pPr>
        <w:jc w:val="both"/>
        <w:pStyle w:val="Normal"/>
        <w:spacing w:line="240" w:lineRule="auto"/>
      </w:pPr>
      <w:r>
        <w:rPr>
          <w:sz w:val="24"/>
          <w:rFonts w:ascii="Times New Roman" w:hAnsi="Times New Roman"/>
        </w:rPr>
        <w:t>Konsolidacijom financijski izvještaja dolazi do povećanja jer je općina u izvještajnom razdoblju provodila projekt Manifestacije općine. Rađen je promotivni video za dan općine. Izdavanje sopjanskog glasila, promo materijali za manifestacije a proračunski korisnik ima rashod za usluga dojave požara po javljaču.</w:t>
      </w:r>
    </w:p>
    <w:p/>
    <w:p>
      <w:pPr>
        <w:jc w:val="center"/>
        <w:pStyle w:val="Normal"/>
        <w:spacing w:line="240" w:lineRule="auto"/>
        <w:keepNext/>
      </w:pPr>
      <w:r>
        <w:rPr>
          <w:sz w:val="28"/>
          <w:rFonts w:ascii="Times New Roman" w:hAnsi="Times New Roman"/>
        </w:rPr>
        <w:t>Bilješka 21.</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3295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Pristojbe i naknade</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3295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4.041,50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3.110,24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77,0</w:t>
            </w:r>
          </w:p>
        </w:tc>
      </w:tr>
    </w:tbl>
    <w:p>
      <w:pPr>
        <w:spacing w:before="0" w:after="0"/>
      </w:pPr>
    </w:p>
    <w:p>
      <w:pPr>
        <w:jc w:val="both"/>
        <w:pStyle w:val="Normal"/>
        <w:spacing w:line="240" w:lineRule="auto"/>
      </w:pPr>
      <w:r>
        <w:rPr>
          <w:sz w:val="24"/>
          <w:rFonts w:ascii="Times New Roman" w:hAnsi="Times New Roman"/>
        </w:rPr>
        <w:t>Konsolidacijom financijski izvještaja dolazi do smanjne  jer  općina u izvještajnom razdoblju ima manje rashode za pristojbe i naknade a najveći dio se odnosi na poticajna naknada za 2023.g prema Fondu za zaštitu okoliša za smanjenje otpda a kod proračunskog korisnika se povećalo stanje jer su imali ovjeru kod javnog bilježnika te sudsku pristojbu za uknjižbu ravnatelja.</w:t>
      </w:r>
    </w:p>
    <w:p/>
    <w:p>
      <w:pPr>
        <w:jc w:val="center"/>
        <w:pStyle w:val="Normal"/>
        <w:spacing w:line="240" w:lineRule="auto"/>
        <w:keepNext/>
      </w:pPr>
      <w:r>
        <w:rPr>
          <w:sz w:val="28"/>
          <w:rFonts w:ascii="Times New Roman" w:hAnsi="Times New Roman"/>
        </w:rPr>
        <w:t>Bilješka 22.</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3299</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Ostali nespomenuti rashodi poslovanja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3299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20.144,90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47.856,78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237,6</w:t>
            </w:r>
          </w:p>
        </w:tc>
      </w:tr>
    </w:tbl>
    <w:p>
      <w:pPr>
        <w:spacing w:before="0" w:after="0"/>
      </w:pPr>
    </w:p>
    <w:p>
      <w:pPr>
        <w:jc w:val="both"/>
        <w:pStyle w:val="Normal"/>
        <w:spacing w:line="240" w:lineRule="auto"/>
      </w:pPr>
      <w:r>
        <w:rPr>
          <w:sz w:val="24"/>
          <w:rFonts w:ascii="Times New Roman" w:hAnsi="Times New Roman"/>
        </w:rPr>
        <w:t>Konsolidacijom financijski izvještaja dolazi do povećanja  jer  općina u izvještajnom razdoblju provodila projekt Manifestacije općine. P rovedene su manifestacije Ivanje, Dravsko proljeće i Ribarski dan.</w:t>
      </w:r>
    </w:p>
    <w:p/>
    <w:p>
      <w:pPr>
        <w:jc w:val="center"/>
        <w:pStyle w:val="Normal"/>
        <w:spacing w:line="240" w:lineRule="auto"/>
        <w:keepNext/>
      </w:pPr>
      <w:r>
        <w:rPr>
          <w:sz w:val="28"/>
          <w:rFonts w:ascii="Times New Roman" w:hAnsi="Times New Roman"/>
        </w:rPr>
        <w:t>Bilješka 23.</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3522</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Subvencije trgovačkim društvima i zadrugama izvan javnog sektora</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3522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2.576,16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4.152,49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161,2</w:t>
            </w:r>
          </w:p>
        </w:tc>
      </w:tr>
    </w:tbl>
    <w:p>
      <w:pPr>
        <w:spacing w:before="0" w:after="0"/>
      </w:pPr>
    </w:p>
    <w:p>
      <w:pPr>
        <w:jc w:val="both"/>
        <w:pStyle w:val="Normal"/>
        <w:spacing w:line="240" w:lineRule="auto"/>
      </w:pPr>
      <w:r>
        <w:rPr>
          <w:sz w:val="24"/>
          <w:rFonts w:ascii="Times New Roman" w:hAnsi="Times New Roman"/>
        </w:rPr>
        <w:t>U izvještajnom razdoblju dolazi do povećanja zbog toga što su se povećali rashodi prema trgovačkog društvu Elkomnet. Proračunski korisnik nema prometa u izvještajnom razdoblju.</w:t>
      </w:r>
    </w:p>
    <w:p/>
    <w:p>
      <w:pPr>
        <w:jc w:val="center"/>
        <w:pStyle w:val="Normal"/>
        <w:spacing w:line="240" w:lineRule="auto"/>
        <w:keepNext/>
      </w:pPr>
      <w:r>
        <w:rPr>
          <w:sz w:val="28"/>
          <w:rFonts w:ascii="Times New Roman" w:hAnsi="Times New Roman"/>
        </w:rPr>
        <w:t>Bilješka 24.</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366</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Pomoći proračunskim korisnicima drugih proračuna (šifre 3661 do 3663)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366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615,60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w:t>
            </w:r>
          </w:p>
        </w:tc>
      </w:tr>
    </w:tbl>
    <w:p>
      <w:pPr>
        <w:spacing w:before="0" w:after="0"/>
      </w:pPr>
    </w:p>
    <w:p>
      <w:pPr>
        <w:jc w:val="both"/>
        <w:pStyle w:val="Normal"/>
        <w:spacing w:line="240" w:lineRule="auto"/>
      </w:pPr>
      <w:r>
        <w:rPr>
          <w:sz w:val="24"/>
          <w:rFonts w:ascii="Times New Roman" w:hAnsi="Times New Roman"/>
        </w:rPr>
        <w:t>U izvještajnom razdoblju nema proemta.</w:t>
      </w:r>
    </w:p>
    <w:p/>
    <w:p>
      <w:pPr>
        <w:jc w:val="center"/>
        <w:pStyle w:val="Normal"/>
        <w:spacing w:line="240" w:lineRule="auto"/>
        <w:keepNext/>
      </w:pPr>
      <w:r>
        <w:rPr>
          <w:sz w:val="28"/>
          <w:rFonts w:ascii="Times New Roman" w:hAnsi="Times New Roman"/>
        </w:rPr>
        <w:t>Bilješka 25.</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367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Prijenosi proračunskim korisnicima iz nadležnog proračuna za financiranje redovne djelatnosti (šifre 3672 do 3674)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367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bl>
    <w:p>
      <w:pPr>
        <w:spacing w:before="0" w:after="0"/>
      </w:pPr>
    </w:p>
    <w:p>
      <w:pPr>
        <w:jc w:val="both"/>
        <w:pStyle w:val="Normal"/>
        <w:spacing w:line="240" w:lineRule="auto"/>
      </w:pPr>
      <w:r>
        <w:rPr>
          <w:sz w:val="24"/>
          <w:rFonts w:ascii="Times New Roman" w:hAnsi="Times New Roman"/>
        </w:rPr>
        <w:t>Konsolidacijo  financijskih izvještaja ova skupina konta se eliminira.</w:t>
      </w:r>
    </w:p>
    <w:p/>
    <w:p>
      <w:pPr>
        <w:jc w:val="center"/>
        <w:pStyle w:val="Normal"/>
        <w:spacing w:line="240" w:lineRule="auto"/>
        <w:keepNext/>
      </w:pPr>
      <w:r>
        <w:rPr>
          <w:sz w:val="28"/>
          <w:rFonts w:ascii="Times New Roman" w:hAnsi="Times New Roman"/>
        </w:rPr>
        <w:t>Bilješka 26.</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3721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Naknade građanima i kućanstvima u novcu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3721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16.152,69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28.122,21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174,1</w:t>
            </w:r>
          </w:p>
        </w:tc>
      </w:tr>
    </w:tbl>
    <w:p>
      <w:pPr>
        <w:spacing w:before="0" w:after="0"/>
      </w:pPr>
    </w:p>
    <w:p>
      <w:pPr>
        <w:jc w:val="both"/>
        <w:pStyle w:val="Normal"/>
        <w:spacing w:line="240" w:lineRule="auto"/>
      </w:pPr>
      <w:r>
        <w:rPr>
          <w:sz w:val="24"/>
          <w:rFonts w:ascii="Times New Roman" w:hAnsi="Times New Roman"/>
        </w:rPr>
        <w:t>U izvještajnom razdovlju dolazi do povećanja jer je općina isplatila Uskrsnicu u iznosu 50,00 eura za 273 korisnika.</w:t>
      </w:r>
    </w:p>
    <w:p/>
    <w:p>
      <w:pPr>
        <w:jc w:val="center"/>
        <w:pStyle w:val="Normal"/>
        <w:spacing w:line="240" w:lineRule="auto"/>
        <w:keepNext/>
      </w:pPr>
      <w:r>
        <w:rPr>
          <w:sz w:val="28"/>
          <w:rFonts w:ascii="Times New Roman" w:hAnsi="Times New Roman"/>
        </w:rPr>
        <w:t>Bilješka 27.</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MANJAK PRIHODA POSLOVANJA (šifre Z005-6)</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Y001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87.260,31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bl>
    <w:p>
      <w:pPr>
        <w:spacing w:before="0" w:after="0"/>
      </w:pPr>
    </w:p>
    <w:p>
      <w:pPr>
        <w:jc w:val="both"/>
        <w:pStyle w:val="Normal"/>
        <w:spacing w:line="240" w:lineRule="auto"/>
      </w:pPr>
      <w:r>
        <w:rPr>
          <w:sz w:val="24"/>
          <w:rFonts w:ascii="Times New Roman" w:hAnsi="Times New Roman"/>
        </w:rPr>
        <w:t>Konsolidacijpm financijskog izvještaja pribrojen je manjak proračunskog korisnika. Manjak prihod aposlovanja općine 53.241,69+ manjak prihoda poslovanja proračunskog korisnika 34.018,62 =87.260,31.</w:t>
      </w:r>
    </w:p>
    <w:p/>
    <w:p>
      <w:pPr>
        <w:jc w:val="center"/>
        <w:pStyle w:val="Normal"/>
        <w:spacing w:line="240" w:lineRule="auto"/>
        <w:keepNext/>
      </w:pPr>
      <w:r>
        <w:rPr>
          <w:sz w:val="28"/>
          <w:rFonts w:ascii="Times New Roman" w:hAnsi="Times New Roman"/>
        </w:rPr>
        <w:t>Bilješka 28.</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711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od prodaje materijalne imovine - prirodnih bogatstava (šifre 7111 do 7113)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711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8.796,97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5.008,42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56,9</w:t>
            </w:r>
          </w:p>
        </w:tc>
      </w:tr>
    </w:tbl>
    <w:p>
      <w:pPr>
        <w:spacing w:before="0" w:after="0"/>
      </w:pPr>
    </w:p>
    <w:p>
      <w:pPr>
        <w:jc w:val="both"/>
        <w:pStyle w:val="Normal"/>
        <w:spacing w:line="240" w:lineRule="auto"/>
      </w:pPr>
      <w:r>
        <w:rPr>
          <w:sz w:val="24"/>
          <w:rFonts w:ascii="Times New Roman" w:hAnsi="Times New Roman"/>
        </w:rPr>
        <w:t>U izvještajnom razdoblju općina je uprihodovala od prodaje poljoprivrednog zemljišta u vlsništvu RH. Proračunski korisnik nema prihoda od prodaje nefinancijske imovine.</w:t>
      </w:r>
    </w:p>
    <w:p/>
    <w:p>
      <w:pPr>
        <w:jc w:val="center"/>
        <w:pStyle w:val="Normal"/>
        <w:spacing w:line="240" w:lineRule="auto"/>
        <w:keepNext/>
      </w:pPr>
      <w:r>
        <w:rPr>
          <w:sz w:val="28"/>
          <w:rFonts w:ascii="Times New Roman" w:hAnsi="Times New Roman"/>
        </w:rPr>
        <w:t>Bilješka 29.</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Rashodi za nabavu nefinancijske imovine (šifre 41+42+43+44+45)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441.947,27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337.551,68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76,4</w:t>
            </w:r>
          </w:p>
        </w:tc>
      </w:tr>
    </w:tbl>
    <w:p>
      <w:pPr>
        <w:spacing w:before="0" w:after="0"/>
      </w:pPr>
    </w:p>
    <w:p>
      <w:pPr>
        <w:jc w:val="both"/>
        <w:pStyle w:val="Normal"/>
        <w:spacing w:line="240" w:lineRule="auto"/>
      </w:pPr>
      <w:r>
        <w:rPr>
          <w:sz w:val="24"/>
          <w:rFonts w:ascii="Times New Roman" w:hAnsi="Times New Roman"/>
        </w:rPr>
        <w:t>U izvještajnom razdoblju proračunski korisnik nema rashoda za nabavu nefinancijske imovine.</w:t>
      </w:r>
    </w:p>
    <w:p/>
    <w:p>
      <w:pPr>
        <w:jc w:val="center"/>
        <w:pStyle w:val="Normal"/>
        <w:spacing w:line="240" w:lineRule="auto"/>
        <w:keepNext/>
      </w:pPr>
      <w:r>
        <w:rPr>
          <w:sz w:val="28"/>
          <w:rFonts w:ascii="Times New Roman" w:hAnsi="Times New Roman"/>
        </w:rPr>
        <w:t>Bilješka 30.</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4213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Ceste, željeznice i ostali prometni objekti</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4213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300.015,59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w:t>
            </w:r>
          </w:p>
        </w:tc>
      </w:tr>
    </w:tbl>
    <w:p>
      <w:pPr>
        <w:spacing w:before="0" w:after="0"/>
      </w:pPr>
    </w:p>
    <w:p>
      <w:pPr>
        <w:jc w:val="both"/>
        <w:pStyle w:val="Normal"/>
        <w:spacing w:line="240" w:lineRule="auto"/>
      </w:pPr>
      <w:r>
        <w:rPr>
          <w:sz w:val="24"/>
          <w:rFonts w:ascii="Times New Roman" w:hAnsi="Times New Roman"/>
        </w:rPr>
        <w:t>u izvještajnom razdoblju nema prometa po tom kontu ni općina ni proračunski korisnik.</w:t>
      </w:r>
    </w:p>
    <w:p/>
    <w:p>
      <w:pPr>
        <w:jc w:val="center"/>
        <w:pStyle w:val="Normal"/>
        <w:spacing w:line="240" w:lineRule="auto"/>
        <w:keepNext/>
      </w:pPr>
      <w:r>
        <w:rPr>
          <w:sz w:val="28"/>
          <w:rFonts w:ascii="Times New Roman" w:hAnsi="Times New Roman"/>
        </w:rPr>
        <w:t>Bilješka 31.</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4214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Ostali građevinski objekti</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4214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25.522,50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119.270,93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467,3</w:t>
            </w:r>
          </w:p>
        </w:tc>
      </w:tr>
    </w:tbl>
    <w:p>
      <w:pPr>
        <w:spacing w:before="0" w:after="0"/>
      </w:pPr>
    </w:p>
    <w:p>
      <w:pPr>
        <w:jc w:val="both"/>
        <w:pStyle w:val="Normal"/>
        <w:spacing w:line="240" w:lineRule="auto"/>
      </w:pPr>
      <w:r>
        <w:rPr>
          <w:sz w:val="24"/>
          <w:rFonts w:ascii="Times New Roman" w:hAnsi="Times New Roman"/>
        </w:rPr>
        <w:t>U izvještajnom razdoblju općina je izgradila pješačku stazu u Sopju.</w:t>
      </w:r>
    </w:p>
    <w:p/>
    <w:p>
      <w:pPr>
        <w:jc w:val="center"/>
        <w:pStyle w:val="Normal"/>
        <w:spacing w:line="240" w:lineRule="auto"/>
        <w:keepNext/>
      </w:pPr>
      <w:r>
        <w:rPr>
          <w:sz w:val="28"/>
          <w:rFonts w:ascii="Times New Roman" w:hAnsi="Times New Roman"/>
        </w:rPr>
        <w:t>Bilješka 32.</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4221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Uredska oprema i namještaj</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4221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789,70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2.770,00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350,8</w:t>
            </w:r>
          </w:p>
        </w:tc>
      </w:tr>
    </w:tbl>
    <w:p>
      <w:pPr>
        <w:spacing w:before="0" w:after="0"/>
      </w:pPr>
    </w:p>
    <w:p>
      <w:pPr>
        <w:jc w:val="both"/>
        <w:pStyle w:val="Normal"/>
        <w:spacing w:line="240" w:lineRule="auto"/>
      </w:pPr>
      <w:r>
        <w:rPr>
          <w:sz w:val="24"/>
          <w:rFonts w:ascii="Times New Roman" w:hAnsi="Times New Roman"/>
        </w:rPr>
        <w:t>U izvještajnom razdoblju općina je nabavila uredski namještaj za opremanje ureda za koordinatora na projektu Zaželi.</w:t>
      </w:r>
    </w:p>
    <w:p/>
    <w:p>
      <w:pPr>
        <w:jc w:val="center"/>
        <w:pStyle w:val="Normal"/>
        <w:spacing w:line="240" w:lineRule="auto"/>
        <w:keepNext/>
      </w:pPr>
      <w:r>
        <w:rPr>
          <w:sz w:val="28"/>
          <w:rFonts w:ascii="Times New Roman" w:hAnsi="Times New Roman"/>
        </w:rPr>
        <w:t>Bilješka 33.</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4223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Oprema za održavanje i zaštitu</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4223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5.741,48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w:t>
            </w:r>
          </w:p>
        </w:tc>
      </w:tr>
    </w:tbl>
    <w:p>
      <w:pPr>
        <w:spacing w:before="0" w:after="0"/>
      </w:pPr>
    </w:p>
    <w:p>
      <w:pPr>
        <w:jc w:val="both"/>
        <w:pStyle w:val="Normal"/>
        <w:spacing w:line="240" w:lineRule="auto"/>
      </w:pPr>
      <w:r>
        <w:rPr>
          <w:sz w:val="24"/>
          <w:rFonts w:ascii="Times New Roman" w:hAnsi="Times New Roman"/>
        </w:rPr>
        <w:t>U izvještajnom razdoblju nije bilo nabave opreme.</w:t>
      </w:r>
    </w:p>
    <w:p/>
    <w:p>
      <w:pPr>
        <w:jc w:val="center"/>
        <w:pStyle w:val="Normal"/>
        <w:spacing w:line="240" w:lineRule="auto"/>
        <w:keepNext/>
      </w:pPr>
      <w:r>
        <w:rPr>
          <w:sz w:val="28"/>
          <w:rFonts w:ascii="Times New Roman" w:hAnsi="Times New Roman"/>
        </w:rPr>
        <w:t>Bilješka 34.</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4227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Uređaji, strojevi i oprema za ostale namjene</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4227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5.659,75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34.597,00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611,3</w:t>
            </w:r>
          </w:p>
        </w:tc>
      </w:tr>
    </w:tbl>
    <w:p>
      <w:pPr>
        <w:spacing w:before="0" w:after="0"/>
      </w:pPr>
    </w:p>
    <w:p>
      <w:pPr>
        <w:jc w:val="both"/>
        <w:pStyle w:val="Normal"/>
        <w:spacing w:line="240" w:lineRule="auto"/>
      </w:pPr>
      <w:r>
        <w:rPr>
          <w:sz w:val="24"/>
          <w:rFonts w:ascii="Times New Roman" w:hAnsi="Times New Roman"/>
        </w:rPr>
        <w:t>U izvještajnom razdoblju općina jeopremila dječje igralište u Španatu sa igralima.</w:t>
      </w:r>
    </w:p>
    <w:p/>
    <w:p>
      <w:pPr>
        <w:jc w:val="center"/>
        <w:pStyle w:val="Normal"/>
        <w:spacing w:line="240" w:lineRule="auto"/>
        <w:keepNext/>
      </w:pPr>
      <w:r>
        <w:rPr>
          <w:sz w:val="28"/>
          <w:rFonts w:ascii="Times New Roman" w:hAnsi="Times New Roman"/>
        </w:rPr>
        <w:t>Bilješka 35.</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4262</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Ulaganja u računalne programe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4262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29.747,50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bl>
    <w:p>
      <w:pPr>
        <w:spacing w:before="0" w:after="0"/>
      </w:pPr>
    </w:p>
    <w:p>
      <w:pPr>
        <w:jc w:val="both"/>
        <w:pStyle w:val="Normal"/>
        <w:spacing w:line="240" w:lineRule="auto"/>
      </w:pPr>
      <w:r>
        <w:rPr>
          <w:sz w:val="24"/>
          <w:rFonts w:ascii="Times New Roman" w:hAnsi="Times New Roman"/>
        </w:rPr>
        <w:t>U izvještajnom razdoblju rađena je implementacija digitalizacija prostornih podataka općine Sopje putem webGIS sustava.</w:t>
      </w:r>
    </w:p>
    <w:p/>
    <w:p>
      <w:pPr>
        <w:jc w:val="center"/>
        <w:pStyle w:val="Normal"/>
        <w:spacing w:line="240" w:lineRule="auto"/>
        <w:keepNext/>
      </w:pPr>
      <w:r>
        <w:rPr>
          <w:sz w:val="28"/>
          <w:rFonts w:ascii="Times New Roman" w:hAnsi="Times New Roman"/>
        </w:rPr>
        <w:t>Bilješka 36.</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451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Dodatna ulaganja na građevinskim objektima</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451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103.218,25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151.166,25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146,5</w:t>
            </w:r>
          </w:p>
        </w:tc>
      </w:tr>
    </w:tbl>
    <w:p>
      <w:pPr>
        <w:spacing w:before="0" w:after="0"/>
      </w:pPr>
    </w:p>
    <w:p>
      <w:pPr>
        <w:jc w:val="both"/>
        <w:pStyle w:val="Normal"/>
        <w:spacing w:line="240" w:lineRule="auto"/>
      </w:pPr>
      <w:r>
        <w:rPr>
          <w:sz w:val="24"/>
          <w:rFonts w:ascii="Times New Roman" w:hAnsi="Times New Roman"/>
        </w:rPr>
        <w:t>U izvještajnom razdoblju općina je dodatno ulagala na sanciju krovišta u Vaškoj na društvenom domu, sanacija velike sale u društvenom domu u Sopju I. faza, sanacija spremišta zgrade nogometnog igrališta u Grabiću.</w:t>
      </w:r>
    </w:p>
    <w:p/>
    <w:p>
      <w:pPr>
        <w:jc w:val="center"/>
        <w:pStyle w:val="Normal"/>
        <w:spacing w:line="240" w:lineRule="auto"/>
        <w:keepNext/>
      </w:pPr>
      <w:r>
        <w:rPr>
          <w:sz w:val="28"/>
          <w:rFonts w:ascii="Times New Roman" w:hAnsi="Times New Roman"/>
        </w:rPr>
        <w:t>Bilješka 37.</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Primici od financijske imovine i zaduživanja (šifre 81+82+83+84+85)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252.952,32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bl>
    <w:p>
      <w:pPr>
        <w:spacing w:before="0" w:after="0"/>
      </w:pPr>
    </w:p>
    <w:p>
      <w:pPr>
        <w:jc w:val="both"/>
        <w:pStyle w:val="Normal"/>
        <w:spacing w:line="240" w:lineRule="auto"/>
      </w:pPr>
      <w:r>
        <w:rPr>
          <w:sz w:val="24"/>
          <w:rFonts w:ascii="Times New Roman" w:hAnsi="Times New Roman"/>
        </w:rPr>
        <w:t>U izvještajnom razdoblju općina koristi dopušteno prekoračenje po računu. </w:t>
      </w:r>
    </w:p>
    <w:p/>
    <w:p>
      <w:pPr>
        <w:jc w:val="center"/>
        <w:pStyle w:val="Normal"/>
        <w:spacing w:line="240" w:lineRule="auto"/>
        <w:keepNext/>
      </w:pPr>
      <w:r>
        <w:rPr>
          <w:sz w:val="28"/>
          <w:rFonts w:ascii="Times New Roman" w:hAnsi="Times New Roman"/>
        </w:rPr>
        <w:t>Bilješka 38.</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Izdaci za financijsku imovinu i otplate zajmova (šifre 51+52+53+54+55)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88.864,68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bl>
    <w:p>
      <w:pPr>
        <w:spacing w:before="0" w:after="0"/>
      </w:pPr>
    </w:p>
    <w:p>
      <w:pPr>
        <w:jc w:val="both"/>
        <w:pStyle w:val="Normal"/>
        <w:spacing w:line="240" w:lineRule="auto"/>
      </w:pPr>
      <w:r>
        <w:rPr>
          <w:sz w:val="24"/>
          <w:rFonts w:ascii="Times New Roman" w:hAnsi="Times New Roman"/>
        </w:rPr>
        <w:t>U izvještajnom razdoblju općina je imala uzdatke za korištenje prekoračenja po poslovnom računu.</w:t>
      </w:r>
    </w:p>
    <w:p/>
    <w:p>
      <w:pPr>
        <w:jc w:val="center"/>
        <w:pStyle w:val="Normal"/>
        <w:spacing w:line="240" w:lineRule="auto"/>
        <w:keepNext/>
      </w:pPr>
      <w:r>
        <w:rPr>
          <w:sz w:val="28"/>
          <w:rFonts w:ascii="Times New Roman" w:hAnsi="Times New Roman"/>
        </w:rPr>
        <w:t>Bilješka 39.</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Prosječan broj zaposlenih u tijelima na osnovi stanja na početku i na kraju izvještajnog razdoblja (cijeli broj)</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Z006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16,00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200</w:t>
            </w:r>
          </w:p>
        </w:tc>
      </w:tr>
    </w:tbl>
    <w:p>
      <w:pPr>
        <w:spacing w:before="0" w:after="0"/>
      </w:pPr>
    </w:p>
    <w:p>
      <w:pPr>
        <w:jc w:val="both"/>
        <w:pStyle w:val="Normal"/>
        <w:spacing w:line="240" w:lineRule="auto"/>
      </w:pPr>
      <w:r>
        <w:rPr>
          <w:sz w:val="24"/>
          <w:rFonts w:ascii="Times New Roman" w:hAnsi="Times New Roman"/>
        </w:rPr>
        <w:t>U izvještajnom razdoblju općina ima načelnika koji dužnost obavlja profesionalno, 3 službenika i 3 namještenika, koordinator na projektu zaželi, 7 žena zaposlenih na projektu zaželi i 2 zaposlena u javnim radovima</w:t>
      </w:r>
    </w:p>
    <w:p/>
    <w:p>
      <w:pPr>
        <w:jc w:val="center"/>
        <w:pStyle w:val="Normal"/>
        <w:spacing w:line="240" w:lineRule="auto"/>
        <w:keepNext/>
      </w:pPr>
      <w:r>
        <w:rPr>
          <w:sz w:val="28"/>
          <w:rFonts w:ascii="Times New Roman" w:hAnsi="Times New Roman"/>
        </w:rPr>
        <w:t>Bilješka 40.</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Prosječan broj zaposlenih kod korisnika na osnovi stanja na početku i na kraju izvještajnog razdoblja (cijeli broj)</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Z007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100</w:t>
            </w:r>
          </w:p>
        </w:tc>
      </w:tr>
    </w:tbl>
    <w:p>
      <w:pPr>
        <w:spacing w:before="0" w:after="0"/>
      </w:pPr>
    </w:p>
    <w:p>
      <w:pPr>
        <w:jc w:val="both"/>
        <w:pStyle w:val="Normal"/>
        <w:spacing w:line="240" w:lineRule="auto"/>
      </w:pPr>
      <w:r>
        <w:rPr>
          <w:sz w:val="24"/>
          <w:rFonts w:ascii="Times New Roman" w:hAnsi="Times New Roman"/>
        </w:rPr>
        <w:t>Proračunski korisnik ima 8 zaposlenika</w:t>
      </w:r>
    </w:p>
    <w:p/>
    <w:p>
      <w:pPr>
        <w:jc w:val="center"/>
        <w:pStyle w:val="Normal"/>
        <w:spacing w:line="240" w:lineRule="auto"/>
        <w:keepNext/>
      </w:pPr>
      <w:r>
        <w:rPr>
          <w:b/>
          <w:sz w:val="28"/>
          <w:rFonts w:ascii="Times New Roman" w:hAnsi="Times New Roman"/>
        </w:rPr>
        <w:t>Izvještaj o obvezama</w:t>
      </w:r>
    </w:p>
    <w:p>
      <w:pPr>
        <w:jc w:val="center"/>
        <w:pStyle w:val="Normal"/>
        <w:spacing w:line="240" w:lineRule="auto"/>
        <w:keepNext/>
      </w:pPr>
      <w:r>
        <w:rPr>
          <w:sz w:val="28"/>
          <w:rFonts w:ascii="Times New Roman" w:hAnsi="Times New Roman"/>
        </w:rPr>
        <w:t>Bilješka 41.</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Iznos</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Stanje dospjelih obveza na kraju izvještajnog razdoblja (šifre V008+D23+D24 + 'D dio 25,26' + D27)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V007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550.930,70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bl>
    <w:p>
      <w:pPr>
        <w:spacing w:before="0" w:after="0"/>
      </w:pPr>
    </w:p>
    <w:p>
      <w:pPr>
        <w:jc w:val="both"/>
        <w:pStyle w:val="Normal"/>
        <w:spacing w:line="240" w:lineRule="auto"/>
      </w:pPr>
      <w:r>
        <w:rPr>
          <w:sz w:val="24"/>
          <w:rFonts w:ascii="Times New Roman" w:hAnsi="Times New Roman"/>
        </w:rPr>
        <w:t>Na dan sastavljanja izvještaja, zajedničko stanje dospjelih obveza iznosi 550.930,70, pri čemu općina ima dospjele obveze u iznosu od 550.870,97 , a proračunski korisnik 59,73 .
Prema Pravilniku o financijskom izvještavanju, u izvještaju “Obveze” dospjele obveze su one koje su imale rok dospijeća najkasnije na datum izvještaja .
Obveze su prepoznate temeljem pristiglih računa, naloga ili drugih vjerodostojnih dokumenata koji potvrđuju pravo vjerovnika na naplatu, obveze proračunskog korisnika odnose se na pretplatu roditelja za korištenje vrtića(obveze za predujmove).
Obveze se prate prema rokovima dospijeća, a eventualne kamate zbog kašnjenja bit će evidentirane u skladu s računovodstvenim propisima i iskazane u bilješkama ako nastupe.
Trenutačno ne postoje značajni rizici neplaćanja za navedene dospjele obveze. Proračunski korisnik je informiran o nastaloj obvezi od 59,73  te je utvrđen plan njenog podmirenja do kraja tekućeg mjeseca. Općinske obveze također su pod kontrolom kroz plan fiskalne odgovornosti, predviđenog godišnjeg financijskog plana i proračuna.</w:t>
      </w:r>
    </w:p>
    <w:p/>
    <w:p>
      <w:pPr>
        <w:jc w:val="center"/>
        <w:pStyle w:val="Normal"/>
        <w:spacing w:line="240" w:lineRule="auto"/>
        <w:keepNext/>
      </w:pPr>
      <w:r>
        <w:rPr>
          <w:sz w:val="28"/>
          <w:rFonts w:ascii="Times New Roman" w:hAnsi="Times New Roman"/>
        </w:rPr>
        <w:t>Bilješka 42.</w:t>
      </w:r>
    </w:p>
    <w:p>
      <w:pPr>
        <w:jc w:val="both"/>
        <w:pStyle w:val="Normal"/>
        <w:spacing w:line="240" w:lineRule="auto"/>
      </w:pPr>
      <w:r>
        <w:rPr>
          <w:b/>
          <w:sz w:val="24"/>
          <w:rFonts w:ascii="Times New Roman" w:hAnsi="Times New Roman"/>
        </w:rPr>
        <w:t>Unutargrupne transakcije koje su u izvještajima eliminirane</w:t>
      </w:r>
    </w:p>
    <w:p>
      <w:pPr>
        <w:jc w:val="both"/>
        <w:pStyle w:val="Normal"/>
        <w:spacing w:line="240" w:lineRule="auto"/>
      </w:pPr>
      <w:r>
        <w:rPr>
          <w:sz w:val="24"/>
          <w:rFonts w:ascii="Times New Roman" w:hAnsi="Times New Roman"/>
        </w:rPr>
        <w:t>Iz proračunskog kontnog okvira:
Sub-skupina 367 – Prijenosi proračunskim korisnicima iz nadležnog proračuna: koristi se u glavnoj knjizi proračuna (razina 13, 22) za evidentiranje rashoda koje proračunski korisnici financira nadležni proračun – primjerice:
36721 – prijenosi za rashode poslovanja,
36731 – prijenosi za nabavu nefinancijske imovine,
36741 – prijenosi za financijsku imovinu i otplatu zajmova 
Sub-skupina 671 – Prihodi iz nadležnog proračuna za financiranje raspodjele: koristi se u knjigama proračunskih korisnika (razina 11, 21, 31) za evidentiranje istih primanja koja im dolaze iz centralnog proračuna:
67111, 67121, 67141 – paralelni prihodi po skupinama rashoda iz 367 
Kada se sastavlja konsolidirani financijski izvještaj za jedinicu lokalne samouprave, eliminiraju se sve intra‑grupne transakcije – to jest prijenosi unutar iste grupe (proračun → korisnik):
Proračun iskazuje rashod (konto 367).
Istovremeno, proračunski korisnik evidentira prihod (konto 671).
U konsolidaciji, ako se to ne ukloni, došlo bi do dvostrukog iskaza: rashod bi povećao ukupne rashode, a prihod bi povećao ukupne prihode, stvarajući lažan prikaz financijskog stanja.
Prema Pravilniku, prihodi s konta 671 se sukobljavaju i eliminišu s rashodima s konta 367
Eliminacija konta 367 i 671 sprječava dvostruko prikazivanje istih transakcija i osigurava da konsolidirani izvještaj prikazuje samo vanjske prihode i rashode prema trećim stranama.
Na taj se način izvještaj čisti od unutarnjih transfera, dajući vjerodostojan pokazatelj stvarnog financijskog učinka i pozicije jedinice lokalne samouprave.</w:t>
      </w:r>
    </w:p>
    <w:p/>
    <w:p>
      <w:pPr>
        <w:jc w:val="center"/>
        <w:pStyle w:val="Normal"/>
        <w:spacing w:line="240" w:lineRule="auto"/>
        <w:keepNext/>
      </w:pPr>
      <w:r>
        <w:rPr>
          <w:sz w:val="28"/>
          <w:rFonts w:ascii="Times New Roman" w:hAnsi="Times New Roman"/>
        </w:rPr>
        <w:t>Bilješka 43.</w:t>
      </w:r>
    </w:p>
    <w:p>
      <w:pPr>
        <w:jc w:val="both"/>
        <w:pStyle w:val="Normal"/>
        <w:spacing w:line="240" w:lineRule="auto"/>
      </w:pPr>
      <w:r>
        <w:rPr>
          <w:b/>
          <w:sz w:val="24"/>
          <w:rFonts w:ascii="Times New Roman" w:hAnsi="Times New Roman"/>
        </w:rPr>
        <w:t>Manjak ili višak u poslovanju grupe i pregled strukture manjka/viška po proračunskim korisnicima </w:t>
      </w:r>
    </w:p>
    <w:p>
      <w:pPr>
        <w:jc w:val="both"/>
        <w:pStyle w:val="Normal"/>
        <w:spacing w:line="240" w:lineRule="auto"/>
      </w:pPr>
      <w:r>
        <w:rPr>
          <w:sz w:val="24"/>
          <w:rFonts w:ascii="Times New Roman" w:hAnsi="Times New Roman"/>
        </w:rPr>
        <w:t>1. Uvod i zakonski okvir
Prema Pravilniku o financijskom izvještavanju u proračunskom računovodstvu, Grupe se u Bilješkama konsolidiranih financijskih izvještaja moraju iskazati:
- manjak ili višak u ukupnom poslovanju,
- pregled strukture manjka/viška po proračunskim i izvanproračunskim korisnicima 
Zakonski okvir (Zakon o proračunu i proračunsko računovodstvo) naglašava da se manjak javlja kad su rashodi i primici veći od prihoda i primitaka, a višak obrnuto.
2. Rezultat poslovanja Grupe – manjak i višak
a) Ukupan rezultat za Općinu (matica grupe):
Manjak prihoda i primitaka: 221.697,31 
Ukazuje da je Općina za tu godinu ostvarila nedostatak sredstava – rashodi i primici premašili su prihode i primitke za navedeni iznos.
Manjak prenesen: 211.233,87 
To je dio manjka koji je preostao iz prethodnih razdoblja i prenesen u tekuću fiskalnu godinu.
b) Proračunski korisnik ( dječji vrtić):
Manjak prihoda poslovanja: 34.018,62 
Ova negativa predstavlja nepokriveni dio poslovanja unutar korisnika, što povećava manjak na razini grupe.
Višak prihoda poslovanja prenesen: 20.271,24 
Radi se o pozitivnom rezultatu koji je ostvaren u prethodnom razdoblju i prenesen u tekuću godinu u vidu viška.
3.Obrazloženje nastanka 
Uzroci manjka:
Viši rashodi i primici unutar Općine nego planirani prihodi/primitci (npr. podizanje razine usluga, izvanredni rashodi).
Manjak u proračunskom korisniku također utječe na konsolidirani manjak Grupe.
Preneseni manjak i višak:
Prethodna razdoblja ostavila su preneseni manjak od 211.233,87 ; tekući manjak od 221.697,31  pokazuje da se proračunska disbalansa nastavlja preko godina.
Suprotno tome, korisnik je prenio i dio viška (20.271,24 ), koji štiti neto rezultat, ali nije dovoljan za pokriće manjka.
4. Zaključak
Ukupni manjak grupe (Općine + korisnik) iznosi:
221.697,31  prihoda i primitaka manjka plus preneseni manjak od 211.233,87  – što ukazuje na kontinuiranu neravnotežu.
Proračunski korisnik je imao vlastiti manjak od 34.018,62 , umanjen viškom (PRENESENI) od 20.271,24 , što znači da se trenutna neto pozicija njegovog poslovanja iz prethodne godine prenosi u tekuću.
Konsolidacijom financijskih izvještaja manjak prihoda i primitaka - preneseni je 190.962,63 + manjak prihoda poslovanja 255.715,93 = 446.678,56 manjak prihoda i primitaka za pokriće u sljedećem razdovlju.
Ova kretanja zahtijevaju usvajanje mjera sanacije (rebalans, pokriće manjka, restriktivnije planiranje rashoda), uz stalno izvještavanje i praćenje izvršenja
Grupa je dužna prikazati manjak/višak i njihovu strukturu po korisnicima 
</w:t>
      </w:r>
    </w:p>
    <w:p/>
  </w:body>
</w:document>
</file>

<file path=word/styles.xml><?xml version="1.0" encoding="utf-8"?>
<w:styles xmlns:w="http://schemas.openxmlformats.org/wordprocessingml/2006/main">
  <w:style w:type="paragraph" w:styleId="Normal" w:default="true">
    <w:name w:val="Normal"/>
    <w:rPr>
      <w:rFonts w:ascii="Times New Roman" w:hAnsi="Times New Roman"/>
      <w:sz w:val="24"/>
    </w:rPr>
  </w:style>
</w:styles>
</file>

<file path=word/_rels/document.xml.rels>&#65279;<?xml version="1.0" encoding="utf-8"?><Relationships xmlns="http://schemas.openxmlformats.org/package/2006/relationships"><Relationship Type="http://schemas.openxmlformats.org/officeDocument/2006/relationships/styles" Target="/word/styles.xml" Id="R5982abc6b26c4e70" /></Relationships>
</file>